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6C640CBF" w:rsidR="00440A36" w:rsidRPr="00F17EF7" w:rsidRDefault="00440A36" w:rsidP="00E16B9D">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SECTIO</w:t>
      </w:r>
      <w:r w:rsidRPr="003C1887">
        <w:rPr>
          <w:rFonts w:ascii="Times New Roman" w:hAnsi="Times New Roman" w:cs="Times New Roman"/>
          <w:sz w:val="36"/>
          <w:szCs w:val="36"/>
        </w:rPr>
        <w:t xml:space="preserve">N </w:t>
      </w:r>
      <w:r w:rsidR="00F17EF7" w:rsidRPr="003C1887">
        <w:rPr>
          <w:rFonts w:ascii="Times New Roman" w:hAnsi="Times New Roman" w:cs="Times New Roman"/>
          <w:sz w:val="36"/>
          <w:szCs w:val="36"/>
        </w:rPr>
        <w:t>09 51 23</w:t>
      </w:r>
    </w:p>
    <w:p w14:paraId="5C9C8DBD" w14:textId="388D179D" w:rsidR="00440A36" w:rsidRPr="001125F1" w:rsidRDefault="003C1887"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Pr>
          <w:rFonts w:ascii="Times New Roman" w:hAnsi="Times New Roman" w:cs="Times New Roman"/>
          <w:sz w:val="36"/>
          <w:szCs w:val="36"/>
        </w:rPr>
        <w:t xml:space="preserve">Acoustic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w:t>
      </w:r>
      <w:r>
        <w:rPr>
          <w:rFonts w:ascii="Times New Roman" w:hAnsi="Times New Roman" w:cs="Times New Roman"/>
          <w:sz w:val="36"/>
          <w:szCs w:val="36"/>
        </w:rPr>
        <w:t>Tile</w:t>
      </w:r>
      <w:r w:rsidR="001125F1">
        <w:rPr>
          <w:rFonts w:ascii="Times New Roman" w:hAnsi="Times New Roman" w:cs="Times New Roman"/>
          <w:sz w:val="36"/>
          <w:szCs w:val="36"/>
        </w:rPr>
        <w:t>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F875A18" w:rsidR="00954771" w:rsidRPr="00CC6B2B" w:rsidRDefault="003C1887"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00E16B9D">
        <w:rPr>
          <w:rFonts w:ascii="Times New Roman" w:hAnsi="Times New Roman" w:cs="Times New Roman"/>
        </w:rPr>
        <w:t>Ceiling Tiles</w:t>
      </w:r>
      <w:r w:rsidR="00242249" w:rsidRPr="00CC6B2B">
        <w:rPr>
          <w:rFonts w:ascii="Times New Roman" w:hAnsi="Times New Roman" w:cs="Times New Roman"/>
        </w:rPr>
        <w:t>.</w:t>
      </w:r>
    </w:p>
    <w:p w14:paraId="03C67C95" w14:textId="612CBC42" w:rsidR="00B63322" w:rsidRPr="00245AEC" w:rsidRDefault="00B63322" w:rsidP="00B63322">
      <w:pPr>
        <w:pStyle w:val="ArticleCSI"/>
        <w:numPr>
          <w:ilvl w:val="0"/>
          <w:numId w:val="2"/>
        </w:numPr>
        <w:ind w:hanging="720"/>
      </w:pPr>
      <w:r w:rsidRPr="00245AEC">
        <w:t>REFERENCES</w:t>
      </w:r>
    </w:p>
    <w:p w14:paraId="70A602F8" w14:textId="465AC217" w:rsidR="00B63322" w:rsidRPr="0047174E" w:rsidRDefault="0047174E" w:rsidP="0047174E">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0C3F2BE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7C546AEC"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3C1887">
        <w:rPr>
          <w:rFonts w:ascii="Times New Roman" w:hAnsi="Times New Roman" w:cs="Times New Roman"/>
        </w:rPr>
        <w:t>tile</w:t>
      </w:r>
      <w:r w:rsidR="00B63322">
        <w:rPr>
          <w:rFonts w:ascii="Times New Roman" w:hAnsi="Times New Roman" w:cs="Times New Roman"/>
        </w:rPr>
        <w:t xml:space="preserve">. </w:t>
      </w:r>
    </w:p>
    <w:p w14:paraId="25E08BD8" w14:textId="6E844DC0"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3B7971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3C1887">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790350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646E8920"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3C1887">
        <w:rPr>
          <w:rFonts w:ascii="Times New Roman" w:hAnsi="Times New Roman" w:cs="Times New Roman"/>
          <w:bCs/>
        </w:rPr>
        <w:t>tile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3C1887">
        <w:rPr>
          <w:rFonts w:ascii="Times New Roman" w:hAnsi="Times New Roman" w:cs="Times New Roman"/>
          <w:bCs/>
        </w:rPr>
        <w:t>tile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2F0E92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3C1887">
        <w:rPr>
          <w:rFonts w:ascii="Times New Roman" w:hAnsi="Times New Roman" w:cs="Times New Roman"/>
          <w:bCs/>
        </w:rPr>
        <w:t>tile</w:t>
      </w:r>
      <w:r w:rsidR="00421151">
        <w:rPr>
          <w:rFonts w:ascii="Times New Roman" w:hAnsi="Times New Roman" w:cs="Times New Roman"/>
          <w:bCs/>
        </w:rPr>
        <w:t>s to perform as specified when tested in accordance with ASTM C423</w:t>
      </w:r>
      <w:r w:rsidR="0047174E">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29FD4EF8"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3C1887">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02CF237"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3C1887">
        <w:rPr>
          <w:rFonts w:ascii="Times New Roman" w:hAnsi="Times New Roman" w:cs="Times New Roman"/>
        </w:rPr>
        <w:t>tile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7C0F7935"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3C1887">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2AC113D2"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3C1887">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6EDC48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3A987942" w14:textId="11B480AD" w:rsidR="00E16B9D" w:rsidRPr="00E16B9D" w:rsidRDefault="00E16B9D" w:rsidP="00E16B9D">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Sound Silencer Ceiling Tile information can be found on our website </w:t>
      </w:r>
      <w:hyperlink r:id="rId8" w:history="1">
        <w:r>
          <w:rPr>
            <w:rStyle w:val="Hyperlink"/>
          </w:rPr>
          <w:t>https://www.acousticalsurfaces.com/acoust_ceilings/ss_ceiling.htm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0F72C09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3C1887" w:rsidRPr="0083747A">
        <w:rPr>
          <w:rFonts w:ascii="Times New Roman" w:hAnsi="Times New Roman" w:cs="Times New Roman"/>
        </w:rPr>
        <w:t>Sound Silencer</w:t>
      </w:r>
      <w:r w:rsidR="003C1887" w:rsidRPr="0083747A">
        <w:rPr>
          <w:rFonts w:ascii="Times New Roman" w:hAnsi="Times New Roman" w:cs="Times New Roman"/>
          <w:vertAlign w:val="superscript"/>
        </w:rPr>
        <w:t xml:space="preserve">TM </w:t>
      </w:r>
      <w:r w:rsidR="00E16B9D">
        <w:rPr>
          <w:rFonts w:ascii="Times New Roman" w:hAnsi="Times New Roman" w:cs="Times New Roman"/>
        </w:rPr>
        <w:t>Ceiling Tiles</w:t>
      </w:r>
      <w:r w:rsidR="003C1887">
        <w:rPr>
          <w:rFonts w:ascii="Times New Roman" w:hAnsi="Times New Roman" w:cs="Times New Roman"/>
        </w:rPr>
        <w:t xml:space="preserve"> </w:t>
      </w:r>
      <w:r w:rsidR="000E6377">
        <w:rPr>
          <w:rFonts w:ascii="Times New Roman" w:hAnsi="Times New Roman" w:cs="Times New Roman"/>
        </w:rPr>
        <w:t>by Acoustical Surfaces, Inc.</w:t>
      </w:r>
    </w:p>
    <w:p w14:paraId="08CE0453" w14:textId="676B356F"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0235792E" w14:textId="0D033767"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Composition:</w:t>
      </w:r>
      <w:r w:rsidRPr="00CE1AD7">
        <w:rPr>
          <w:rFonts w:ascii="Times New Roman" w:hAnsi="Times New Roman" w:cs="Times New Roman"/>
        </w:rPr>
        <w:tab/>
        <w:t>Semi-rigid porous expanded polypropylene acoustical bead foam</w:t>
      </w:r>
    </w:p>
    <w:p w14:paraId="58767F06" w14:textId="183B9442"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Thickness:</w:t>
      </w:r>
      <w:r>
        <w:rPr>
          <w:rFonts w:ascii="Times New Roman" w:hAnsi="Times New Roman" w:cs="Times New Roman"/>
        </w:rPr>
        <w:tab/>
      </w:r>
      <w:r w:rsidRPr="00CE1AD7">
        <w:rPr>
          <w:rFonts w:ascii="Times New Roman" w:hAnsi="Times New Roman" w:cs="Times New Roman"/>
        </w:rPr>
        <w:tab/>
      </w:r>
      <w:r w:rsidRPr="00FC03CC">
        <w:rPr>
          <w:rFonts w:ascii="Times New Roman" w:hAnsi="Times New Roman" w:cs="Times New Roman"/>
          <w:color w:val="FF0000"/>
        </w:rPr>
        <w:t>(1”) / (2”)</w:t>
      </w:r>
    </w:p>
    <w:p w14:paraId="54F3F48E" w14:textId="7D03B3B5"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Pr="00CE1AD7">
        <w:rPr>
          <w:rFonts w:ascii="Times New Roman" w:hAnsi="Times New Roman" w:cs="Times New Roman"/>
        </w:rPr>
        <w:t xml:space="preserve"> Size:</w:t>
      </w:r>
      <w:r w:rsidRPr="00CE1AD7">
        <w:rPr>
          <w:rFonts w:ascii="Times New Roman" w:hAnsi="Times New Roman" w:cs="Times New Roman"/>
        </w:rPr>
        <w:tab/>
      </w:r>
      <w:r w:rsidRPr="00CE1AD7">
        <w:rPr>
          <w:rFonts w:ascii="Times New Roman" w:hAnsi="Times New Roman" w:cs="Times New Roman"/>
        </w:rPr>
        <w:tab/>
      </w:r>
      <w:r w:rsidR="00E16B9D" w:rsidRPr="00FC03CC">
        <w:rPr>
          <w:rFonts w:ascii="Times New Roman" w:hAnsi="Times New Roman" w:cs="Times New Roman"/>
          <w:color w:val="FF0000"/>
        </w:rPr>
        <w:t>(23-3/4” x 23-3/4”) / (23-3/4” x 47-3/4”)</w:t>
      </w:r>
    </w:p>
    <w:p w14:paraId="2DF9C13B" w14:textId="77777777"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6176BF83" w14:textId="15824D71" w:rsidR="003C1887" w:rsidRPr="00CE1AD7" w:rsidRDefault="003C1887" w:rsidP="003C1887">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bookmarkStart w:id="0" w:name="_GoBack"/>
      <w:r w:rsidRPr="00FC03CC">
        <w:rPr>
          <w:rFonts w:ascii="Times New Roman" w:hAnsi="Times New Roman" w:cs="Times New Roman"/>
          <w:color w:val="FF0000"/>
        </w:rPr>
        <w:t xml:space="preserve">(Charcoal) / (White) </w:t>
      </w:r>
      <w:bookmarkEnd w:id="0"/>
    </w:p>
    <w:p w14:paraId="239DDE95" w14:textId="0AFC9DBA" w:rsidR="003C1887" w:rsidRPr="00AB0736"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t>Lay-in</w:t>
      </w:r>
    </w:p>
    <w:p w14:paraId="7A70B35F" w14:textId="77777777" w:rsidR="003C1887" w:rsidRDefault="003C1887" w:rsidP="003C1887">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09E3B06" w14:textId="77777777" w:rsidR="003C188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614B243A" w14:textId="77777777" w:rsidR="003C1887" w:rsidRDefault="003C1887"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3C1887" w14:paraId="6F478FA4" w14:textId="77777777" w:rsidTr="00225C1C">
        <w:tc>
          <w:tcPr>
            <w:tcW w:w="2515" w:type="dxa"/>
          </w:tcPr>
          <w:p w14:paraId="1AB9B71D"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61B2988B"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1B92F18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3C1887" w14:paraId="716B5836" w14:textId="77777777" w:rsidTr="00225C1C">
        <w:tc>
          <w:tcPr>
            <w:tcW w:w="2515" w:type="dxa"/>
          </w:tcPr>
          <w:p w14:paraId="516613C2"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00" w:type="dxa"/>
          </w:tcPr>
          <w:p w14:paraId="5410DFD4"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0.55</w:t>
            </w:r>
          </w:p>
        </w:tc>
        <w:tc>
          <w:tcPr>
            <w:tcW w:w="1620" w:type="dxa"/>
          </w:tcPr>
          <w:p w14:paraId="2667A68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0.70</w:t>
            </w:r>
          </w:p>
        </w:tc>
      </w:tr>
    </w:tbl>
    <w:p w14:paraId="3E23F60B" w14:textId="77777777" w:rsidR="003C1887" w:rsidRDefault="003C1887" w:rsidP="003C1887">
      <w:pPr>
        <w:pStyle w:val="ListParagraph"/>
        <w:spacing w:after="200"/>
        <w:ind w:left="2880"/>
        <w:contextualSpacing w:val="0"/>
        <w:rPr>
          <w:rFonts w:ascii="Times New Roman" w:hAnsi="Times New Roman" w:cs="Times New Roman"/>
        </w:rPr>
      </w:pPr>
    </w:p>
    <w:p w14:paraId="04A2E987" w14:textId="77777777" w:rsidR="003C1887" w:rsidRDefault="003C1887"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3C1887" w14:paraId="3052A1D8" w14:textId="77777777" w:rsidTr="00225C1C">
        <w:tc>
          <w:tcPr>
            <w:tcW w:w="2515" w:type="dxa"/>
          </w:tcPr>
          <w:p w14:paraId="78E5983C"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1B0E3ED8"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0C8DA07D"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3C1887" w14:paraId="6E12E31E" w14:textId="77777777" w:rsidTr="00225C1C">
        <w:tc>
          <w:tcPr>
            <w:tcW w:w="2515" w:type="dxa"/>
          </w:tcPr>
          <w:p w14:paraId="6D17AB6A"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4017FA71"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9</w:t>
            </w:r>
          </w:p>
        </w:tc>
        <w:tc>
          <w:tcPr>
            <w:tcW w:w="1620" w:type="dxa"/>
          </w:tcPr>
          <w:p w14:paraId="72EFA17B"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13</w:t>
            </w:r>
          </w:p>
        </w:tc>
      </w:tr>
      <w:tr w:rsidR="003C1887" w14:paraId="3DEBD425" w14:textId="77777777" w:rsidTr="00225C1C">
        <w:tc>
          <w:tcPr>
            <w:tcW w:w="2515" w:type="dxa"/>
          </w:tcPr>
          <w:p w14:paraId="659FE46A"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420AB3B7"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8</w:t>
            </w:r>
          </w:p>
        </w:tc>
        <w:tc>
          <w:tcPr>
            <w:tcW w:w="1620" w:type="dxa"/>
          </w:tcPr>
          <w:p w14:paraId="2F9D3AF7" w14:textId="77777777" w:rsidR="003C1887" w:rsidRDefault="003C1887" w:rsidP="00225C1C">
            <w:pPr>
              <w:pStyle w:val="ListParagraph"/>
              <w:spacing w:after="200"/>
              <w:ind w:left="0"/>
              <w:contextualSpacing w:val="0"/>
              <w:rPr>
                <w:rFonts w:ascii="Times New Roman" w:hAnsi="Times New Roman" w:cs="Times New Roman"/>
              </w:rPr>
            </w:pPr>
            <w:r>
              <w:rPr>
                <w:rFonts w:ascii="Times New Roman" w:hAnsi="Times New Roman" w:cs="Times New Roman"/>
              </w:rPr>
              <w:t>11</w:t>
            </w:r>
          </w:p>
        </w:tc>
      </w:tr>
    </w:tbl>
    <w:p w14:paraId="1B36750C" w14:textId="77777777" w:rsidR="003C1887" w:rsidRPr="00476496" w:rsidRDefault="003C1887" w:rsidP="003C1887">
      <w:pPr>
        <w:spacing w:after="200"/>
        <w:rPr>
          <w:rFonts w:ascii="Times New Roman" w:hAnsi="Times New Roman" w:cs="Times New Roman"/>
        </w:rPr>
      </w:pPr>
    </w:p>
    <w:p w14:paraId="13350C87" w14:textId="66982215" w:rsidR="003C1887" w:rsidRDefault="003C1887" w:rsidP="003C18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48C6D87" w14:textId="395E8F48" w:rsidR="003C1887" w:rsidRPr="00E16B9D" w:rsidRDefault="00E16B9D" w:rsidP="003C188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5C7591BF"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3C1887">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3638BC91"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3C1887">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C1887"/>
    <w:rsid w:val="003D6165"/>
    <w:rsid w:val="003E64D2"/>
    <w:rsid w:val="003F348D"/>
    <w:rsid w:val="004111D9"/>
    <w:rsid w:val="00415B13"/>
    <w:rsid w:val="00421151"/>
    <w:rsid w:val="0043644C"/>
    <w:rsid w:val="00440A36"/>
    <w:rsid w:val="0047174E"/>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16B9D"/>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03C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E16B9D"/>
    <w:pPr>
      <w:contextualSpacing/>
    </w:pPr>
    <w:rPr>
      <w:rFonts w:ascii="Times New Roman" w:hAnsi="Times New Roman" w:cs="Times New Roman"/>
      <w:b/>
    </w:rPr>
  </w:style>
  <w:style w:type="character" w:customStyle="1" w:styleId="PartCSIChar">
    <w:name w:val="Part (CSI) Char"/>
    <w:basedOn w:val="DefaultParagraphFont"/>
    <w:link w:val="PartCSI"/>
    <w:rsid w:val="00E16B9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_ceilings/ss_ceil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8B8E-0BF7-4B52-B668-0D2E9662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2019-11-22T19:04:00Z</dcterms:created>
  <dcterms:modified xsi:type="dcterms:W3CDTF">2020-03-19T15:08:00Z</dcterms:modified>
</cp:coreProperties>
</file>