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1738D917" w:rsidR="00440A36" w:rsidRPr="0064126D" w:rsidRDefault="00440A36" w:rsidP="00447F87">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SECTION </w:t>
      </w:r>
      <w:r w:rsidR="00F17EF7" w:rsidRPr="0064126D">
        <w:rPr>
          <w:rFonts w:ascii="Times New Roman" w:hAnsi="Times New Roman" w:cs="Times New Roman"/>
          <w:sz w:val="36"/>
          <w:szCs w:val="36"/>
        </w:rPr>
        <w:t>09 51 13</w:t>
      </w:r>
    </w:p>
    <w:p w14:paraId="5C9C8DBD" w14:textId="0CCDB2D2" w:rsidR="00440A36" w:rsidRPr="0064126D" w:rsidRDefault="0064126D"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Poly </w:t>
      </w:r>
      <w:proofErr w:type="spellStart"/>
      <w:r w:rsidRPr="0064126D">
        <w:rPr>
          <w:rFonts w:ascii="Times New Roman" w:hAnsi="Times New Roman" w:cs="Times New Roman"/>
          <w:sz w:val="36"/>
          <w:szCs w:val="36"/>
        </w:rPr>
        <w:t>Max</w:t>
      </w:r>
      <w:r w:rsidRPr="0064126D">
        <w:rPr>
          <w:rFonts w:ascii="Times New Roman" w:hAnsi="Times New Roman" w:cs="Times New Roman"/>
          <w:sz w:val="36"/>
          <w:szCs w:val="36"/>
          <w:vertAlign w:val="superscript"/>
        </w:rPr>
        <w:t>TM</w:t>
      </w:r>
      <w:proofErr w:type="spellEnd"/>
      <w:r w:rsidRPr="0064126D">
        <w:rPr>
          <w:rFonts w:ascii="Times New Roman" w:hAnsi="Times New Roman" w:cs="Times New Roman"/>
          <w:sz w:val="36"/>
          <w:szCs w:val="36"/>
        </w:rPr>
        <w:t xml:space="preserve"> </w:t>
      </w:r>
      <w:r w:rsidR="00F30F94" w:rsidRPr="0064126D">
        <w:rPr>
          <w:rFonts w:ascii="Times New Roman" w:hAnsi="Times New Roman" w:cs="Times New Roman"/>
          <w:sz w:val="36"/>
          <w:szCs w:val="36"/>
        </w:rPr>
        <w:t>Ceiling</w:t>
      </w:r>
      <w:r w:rsidR="001125F1" w:rsidRPr="0064126D">
        <w:rPr>
          <w:rFonts w:ascii="Times New Roman" w:hAnsi="Times New Roman" w:cs="Times New Roman"/>
          <w:sz w:val="36"/>
          <w:szCs w:val="36"/>
        </w:rPr>
        <w:t xml:space="preserve"> Panels</w:t>
      </w:r>
    </w:p>
    <w:p w14:paraId="43AF13BE" w14:textId="77777777" w:rsidR="00440A36" w:rsidRPr="0064126D" w:rsidRDefault="00440A36" w:rsidP="00440A36">
      <w:pPr>
        <w:contextualSpacing/>
        <w:jc w:val="center"/>
        <w:rPr>
          <w:rFonts w:ascii="Times New Roman" w:hAnsi="Times New Roman" w:cs="Times New Roman"/>
          <w:sz w:val="24"/>
          <w:szCs w:val="24"/>
        </w:rPr>
      </w:pPr>
    </w:p>
    <w:p w14:paraId="7CC3434C" w14:textId="37CAD68D" w:rsidR="005543F3" w:rsidRPr="0064126D" w:rsidRDefault="005543F3" w:rsidP="005543F3">
      <w:pPr>
        <w:contextualSpacing/>
        <w:rPr>
          <w:rFonts w:ascii="Times New Roman" w:hAnsi="Times New Roman" w:cs="Times New Roman"/>
          <w:b/>
        </w:rPr>
      </w:pPr>
      <w:r w:rsidRPr="0064126D">
        <w:rPr>
          <w:rFonts w:ascii="Times New Roman" w:hAnsi="Times New Roman" w:cs="Times New Roman"/>
          <w:b/>
        </w:rPr>
        <w:t xml:space="preserve">PART 1 GENERAL </w:t>
      </w:r>
    </w:p>
    <w:p w14:paraId="070859DD" w14:textId="7B460FAD" w:rsidR="005543F3" w:rsidRPr="0064126D" w:rsidRDefault="00440A36" w:rsidP="007647F5">
      <w:pPr>
        <w:pStyle w:val="ListParagraph"/>
        <w:numPr>
          <w:ilvl w:val="0"/>
          <w:numId w:val="2"/>
        </w:numPr>
        <w:spacing w:after="200"/>
        <w:ind w:left="360"/>
        <w:contextualSpacing w:val="0"/>
        <w:rPr>
          <w:rFonts w:ascii="Times New Roman" w:hAnsi="Times New Roman" w:cs="Times New Roman"/>
          <w:b/>
        </w:rPr>
      </w:pPr>
      <w:r w:rsidRPr="0064126D">
        <w:rPr>
          <w:rFonts w:ascii="Times New Roman" w:hAnsi="Times New Roman" w:cs="Times New Roman"/>
          <w:b/>
        </w:rPr>
        <w:t xml:space="preserve"> </w:t>
      </w:r>
      <w:r w:rsidRPr="0064126D">
        <w:rPr>
          <w:rFonts w:ascii="Times New Roman" w:hAnsi="Times New Roman" w:cs="Times New Roman"/>
          <w:b/>
        </w:rPr>
        <w:tab/>
      </w:r>
      <w:r w:rsidR="00954771" w:rsidRPr="0064126D">
        <w:rPr>
          <w:rFonts w:ascii="Times New Roman" w:hAnsi="Times New Roman" w:cs="Times New Roman"/>
          <w:b/>
        </w:rPr>
        <w:t>SECTION INCLUDES</w:t>
      </w:r>
    </w:p>
    <w:p w14:paraId="738CA36F" w14:textId="1F8E5E94" w:rsidR="00954771" w:rsidRPr="0064126D" w:rsidRDefault="0064126D"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 xml:space="preserve">Poly </w:t>
      </w:r>
      <w:proofErr w:type="spellStart"/>
      <w:r w:rsidRPr="0064126D">
        <w:rPr>
          <w:rFonts w:ascii="Times New Roman" w:hAnsi="Times New Roman" w:cs="Times New Roman"/>
        </w:rPr>
        <w:t>Max</w:t>
      </w:r>
      <w:r w:rsidRPr="0064126D">
        <w:rPr>
          <w:rFonts w:ascii="Times New Roman" w:hAnsi="Times New Roman" w:cs="Times New Roman"/>
          <w:vertAlign w:val="superscript"/>
        </w:rPr>
        <w:t>TM</w:t>
      </w:r>
      <w:proofErr w:type="spellEnd"/>
      <w:r w:rsidRPr="0064126D">
        <w:rPr>
          <w:rFonts w:ascii="Times New Roman" w:hAnsi="Times New Roman" w:cs="Times New Roman"/>
        </w:rPr>
        <w:t xml:space="preserve"> polyester </w:t>
      </w:r>
      <w:proofErr w:type="gramStart"/>
      <w:r w:rsidRPr="0064126D">
        <w:rPr>
          <w:rFonts w:ascii="Times New Roman" w:hAnsi="Times New Roman" w:cs="Times New Roman"/>
        </w:rPr>
        <w:t>acoustical</w:t>
      </w:r>
      <w:proofErr w:type="gramEnd"/>
      <w:r w:rsidR="00954771" w:rsidRPr="0064126D">
        <w:rPr>
          <w:rFonts w:ascii="Times New Roman" w:hAnsi="Times New Roman" w:cs="Times New Roman"/>
        </w:rPr>
        <w:t xml:space="preserve"> </w:t>
      </w:r>
      <w:r w:rsidR="00F30F94" w:rsidRPr="0064126D">
        <w:rPr>
          <w:rFonts w:ascii="Times New Roman" w:hAnsi="Times New Roman" w:cs="Times New Roman"/>
        </w:rPr>
        <w:t>ceiling</w:t>
      </w:r>
      <w:r w:rsidR="00954771" w:rsidRPr="0064126D">
        <w:rPr>
          <w:rFonts w:ascii="Times New Roman" w:hAnsi="Times New Roman" w:cs="Times New Roman"/>
        </w:rPr>
        <w:t xml:space="preserve"> panels</w:t>
      </w:r>
      <w:r w:rsidR="00B63322" w:rsidRPr="0064126D">
        <w:rPr>
          <w:rFonts w:ascii="Times New Roman" w:hAnsi="Times New Roman" w:cs="Times New Roman"/>
        </w:rPr>
        <w:t xml:space="preserve"> and accessories for </w:t>
      </w:r>
      <w:r w:rsidR="00F30F94" w:rsidRPr="0064126D">
        <w:rPr>
          <w:rFonts w:ascii="Times New Roman" w:hAnsi="Times New Roman" w:cs="Times New Roman"/>
        </w:rPr>
        <w:t>ceiling</w:t>
      </w:r>
      <w:r w:rsidR="00B63322" w:rsidRPr="0064126D">
        <w:rPr>
          <w:rFonts w:ascii="Times New Roman" w:hAnsi="Times New Roman" w:cs="Times New Roman"/>
        </w:rPr>
        <w:t xml:space="preserve"> installation</w:t>
      </w:r>
      <w:r w:rsidR="00242249" w:rsidRPr="0064126D">
        <w:rPr>
          <w:rFonts w:ascii="Times New Roman" w:hAnsi="Times New Roman" w:cs="Times New Roman"/>
        </w:rPr>
        <w:t>.</w:t>
      </w:r>
    </w:p>
    <w:p w14:paraId="03C67C95" w14:textId="2CCDB3BA" w:rsidR="00B63322" w:rsidRPr="00245AEC" w:rsidRDefault="00B63322" w:rsidP="00B63322">
      <w:pPr>
        <w:pStyle w:val="ArticleCSI"/>
        <w:numPr>
          <w:ilvl w:val="0"/>
          <w:numId w:val="2"/>
        </w:numPr>
        <w:ind w:hanging="720"/>
      </w:pPr>
      <w:r w:rsidRPr="00245AEC">
        <w:t>REFERENCES</w:t>
      </w:r>
      <w:r w:rsidR="00F212A4">
        <w:t xml:space="preserve"> </w:t>
      </w:r>
      <w:r w:rsidR="00F212A4">
        <w:rPr>
          <w:color w:val="FF0000"/>
        </w:rPr>
        <w:t xml:space="preserve"> </w:t>
      </w:r>
    </w:p>
    <w:p w14:paraId="70A602F8" w14:textId="639A6E52" w:rsidR="00B63322" w:rsidRPr="003247B4" w:rsidRDefault="003247B4" w:rsidP="003247B4">
      <w:pPr>
        <w:pStyle w:val="ParagraphCSI"/>
        <w:numPr>
          <w:ilvl w:val="1"/>
          <w:numId w:val="2"/>
        </w:numPr>
        <w:ind w:left="1440" w:hanging="720"/>
      </w:pPr>
      <w:r w:rsidRPr="000D0496">
        <w:t>American Society for Testing and Materials (ASTM)</w:t>
      </w:r>
    </w:p>
    <w:p w14:paraId="76B26DEC" w14:textId="4FF2234A" w:rsidR="00F404F2" w:rsidRDefault="00F404F2" w:rsidP="003247B4">
      <w:pPr>
        <w:pStyle w:val="SubParaCSI"/>
        <w:numPr>
          <w:ilvl w:val="2"/>
          <w:numId w:val="2"/>
        </w:numPr>
        <w:ind w:hanging="720"/>
      </w:pPr>
      <w:r>
        <w:t xml:space="preserve">ASTM C1338: </w:t>
      </w:r>
      <w:r w:rsidRPr="00F404F2">
        <w:t>Standard Test Method for Determining Fungi Resistance of Insulation Materials and Facings</w:t>
      </w:r>
    </w:p>
    <w:p w14:paraId="4692AB73" w14:textId="1503DAEB" w:rsidR="003247B4" w:rsidRDefault="003247B4" w:rsidP="003247B4">
      <w:pPr>
        <w:pStyle w:val="SubParaCSI"/>
        <w:numPr>
          <w:ilvl w:val="2"/>
          <w:numId w:val="2"/>
        </w:numPr>
        <w:ind w:hanging="720"/>
      </w:pPr>
      <w:r w:rsidRPr="00245AEC">
        <w:t>ASTM C423: Standard Test Method for Sound Absorption and Sound Absorption Coefficients by the Reverberation Room Method</w:t>
      </w:r>
    </w:p>
    <w:p w14:paraId="2BCCCFB1" w14:textId="780DDAE0" w:rsidR="00B63322" w:rsidRDefault="00B63322" w:rsidP="00F212A4">
      <w:pPr>
        <w:pStyle w:val="SubParaCSI"/>
        <w:numPr>
          <w:ilvl w:val="2"/>
          <w:numId w:val="2"/>
        </w:numPr>
        <w:ind w:hanging="720"/>
      </w:pPr>
      <w:r w:rsidRPr="00245AEC">
        <w:t>ASTM E84: Standard Test Method for Surface Burning Characteristics of Building Materials.</w:t>
      </w:r>
    </w:p>
    <w:p w14:paraId="44BF8E64" w14:textId="2B233D81" w:rsidR="00B63322" w:rsidRDefault="00B63322" w:rsidP="00F212A4">
      <w:pPr>
        <w:pStyle w:val="SubParaCSI"/>
        <w:numPr>
          <w:ilvl w:val="2"/>
          <w:numId w:val="2"/>
        </w:numPr>
        <w:ind w:hanging="720"/>
      </w:pPr>
      <w:r w:rsidRPr="00245AEC">
        <w:t>ASTM E795: Standard Practices for Mounting Test Specimens During Sound Absorption Tests</w:t>
      </w:r>
    </w:p>
    <w:p w14:paraId="223DE79E" w14:textId="77777777" w:rsidR="00F404F2" w:rsidRDefault="00F404F2" w:rsidP="00F404F2">
      <w:pPr>
        <w:pStyle w:val="SubParaCSI"/>
        <w:numPr>
          <w:ilvl w:val="2"/>
          <w:numId w:val="2"/>
        </w:numPr>
        <w:ind w:hanging="720"/>
      </w:pPr>
      <w:r>
        <w:t>ASTM E1477: Standard Test Method for Luminous Reflectance Factor of Acoustical Materials by Use of Integrating-Sphere Reflectometers</w:t>
      </w:r>
    </w:p>
    <w:p w14:paraId="36F84355" w14:textId="77777777" w:rsidR="00F404F2" w:rsidRDefault="00F404F2" w:rsidP="00F404F2">
      <w:pPr>
        <w:pStyle w:val="ParagraphCSI"/>
        <w:numPr>
          <w:ilvl w:val="1"/>
          <w:numId w:val="2"/>
        </w:numPr>
        <w:ind w:left="1440" w:hanging="720"/>
      </w:pPr>
      <w:r>
        <w:t>California Department of Public Health (CDPH)</w:t>
      </w:r>
    </w:p>
    <w:p w14:paraId="01FB56CF" w14:textId="520982B4" w:rsidR="00F404F2" w:rsidRPr="00CE4350" w:rsidRDefault="00F404F2" w:rsidP="00F404F2">
      <w:pPr>
        <w:pStyle w:val="SubParaCSI"/>
        <w:numPr>
          <w:ilvl w:val="2"/>
          <w:numId w:val="2"/>
        </w:numPr>
        <w:ind w:hanging="720"/>
      </w:pPr>
      <w:r>
        <w:t>CDPH Standard Method V1.2: Standard Method for the Testing and Evaluation of Volatile Organic Chemical Emissions from Indoor Sources Using Environmental Chambers</w:t>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6A74A30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179F8084"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 xml:space="preserve">Extra materials shall remain in the manufacturer’s original packaging and given to the building owner upon substantial completion of the work. Store extra materials per </w:t>
      </w:r>
      <w:proofErr w:type="gramStart"/>
      <w:r w:rsidRPr="00291674">
        <w:rPr>
          <w:rFonts w:ascii="Times New Roman" w:hAnsi="Times New Roman" w:cs="Times New Roman"/>
        </w:rPr>
        <w:t>instructions as</w:t>
      </w:r>
      <w:proofErr w:type="gramEnd"/>
      <w:r w:rsidRPr="00291674">
        <w:rPr>
          <w:rFonts w:ascii="Times New Roman" w:hAnsi="Times New Roman" w:cs="Times New Roman"/>
        </w:rPr>
        <w:t xml:space="preserve">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proofErr w:type="gramStart"/>
      <w:r w:rsidR="000E6377">
        <w:rPr>
          <w:rFonts w:ascii="Times New Roman" w:hAnsi="Times New Roman" w:cs="Times New Roman"/>
        </w:rPr>
        <w:t>acoustical</w:t>
      </w:r>
      <w:proofErr w:type="gramEnd"/>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 xml:space="preserve">Installers: Utilize an </w:t>
      </w:r>
      <w:proofErr w:type="gramStart"/>
      <w:r w:rsidRPr="00CC6B2B">
        <w:rPr>
          <w:rFonts w:ascii="Times New Roman" w:hAnsi="Times New Roman" w:cs="Times New Roman"/>
        </w:rPr>
        <w:t>installer having</w:t>
      </w:r>
      <w:proofErr w:type="gramEnd"/>
      <w:r w:rsidRPr="00CC6B2B">
        <w:rPr>
          <w:rFonts w:ascii="Times New Roman" w:hAnsi="Times New Roman" w:cs="Times New Roman"/>
        </w:rPr>
        <w:t xml:space="preserve"> demonstrated experience </w:t>
      </w:r>
      <w:proofErr w:type="gramStart"/>
      <w:r w:rsidRPr="00CC6B2B">
        <w:rPr>
          <w:rFonts w:ascii="Times New Roman" w:hAnsi="Times New Roman" w:cs="Times New Roman"/>
        </w:rPr>
        <w:t>on</w:t>
      </w:r>
      <w:proofErr w:type="gramEnd"/>
      <w:r w:rsidRPr="00CC6B2B">
        <w:rPr>
          <w:rFonts w:ascii="Times New Roman" w:hAnsi="Times New Roman" w:cs="Times New Roman"/>
        </w:rPr>
        <w:t xml:space="preserve"> projects of comparable size and complexity.</w:t>
      </w:r>
    </w:p>
    <w:p w14:paraId="3F8A784C" w14:textId="5D11FF2D"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proofErr w:type="gramStart"/>
      <w:r w:rsidR="00421151">
        <w:rPr>
          <w:rFonts w:ascii="Times New Roman" w:hAnsi="Times New Roman" w:cs="Times New Roman"/>
          <w:bCs/>
        </w:rPr>
        <w:t>Acoustical</w:t>
      </w:r>
      <w:proofErr w:type="gramEnd"/>
      <w:r w:rsidR="00421151">
        <w:rPr>
          <w:rFonts w:ascii="Times New Roman" w:hAnsi="Times New Roman" w:cs="Times New Roman"/>
          <w:bCs/>
        </w:rPr>
        <w:t xml:space="preserve">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63C95C7"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5EF2AC6"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1348A827" w14:textId="2A26A62A" w:rsidR="003247B4" w:rsidRPr="003247B4" w:rsidRDefault="003247B4" w:rsidP="003247B4">
      <w:pPr>
        <w:pStyle w:val="PartCSI"/>
        <w:rPr>
          <w:color w:val="FF0000"/>
        </w:rPr>
      </w:pPr>
      <w:r>
        <w:rPr>
          <w:color w:val="FF0000"/>
        </w:rPr>
        <w:t>(Specifier Note: Red colored text below requires you to select an option before this specification can be completed. Options in red text are bound by parenthesis. Additional Poly Max information can be found on our website</w:t>
      </w:r>
      <w:r>
        <w:t xml:space="preserve"> </w:t>
      </w:r>
      <w:hyperlink r:id="rId8" w:history="1">
        <w:r w:rsidRPr="00447F87">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7595A35F"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4126D" w:rsidRPr="0064126D">
        <w:rPr>
          <w:rFonts w:ascii="Times New Roman" w:hAnsi="Times New Roman" w:cs="Times New Roman"/>
        </w:rPr>
        <w:t xml:space="preserve">Poly </w:t>
      </w:r>
      <w:proofErr w:type="spellStart"/>
      <w:r w:rsidR="0064126D" w:rsidRPr="0064126D">
        <w:rPr>
          <w:rFonts w:ascii="Times New Roman" w:hAnsi="Times New Roman" w:cs="Times New Roman"/>
        </w:rPr>
        <w:t>Max</w:t>
      </w:r>
      <w:r w:rsidR="0064126D" w:rsidRPr="0064126D">
        <w:rPr>
          <w:rFonts w:ascii="Times New Roman" w:hAnsi="Times New Roman" w:cs="Times New Roman"/>
          <w:vertAlign w:val="superscript"/>
        </w:rPr>
        <w:t>TM</w:t>
      </w:r>
      <w:proofErr w:type="spellEnd"/>
      <w:r w:rsidR="005A7A24">
        <w:rPr>
          <w:rFonts w:ascii="Times New Roman" w:hAnsi="Times New Roman" w:cs="Times New Roman"/>
        </w:rPr>
        <w:t xml:space="preserve"> </w:t>
      </w:r>
      <w:r w:rsidR="00DB21A8">
        <w:rPr>
          <w:rFonts w:ascii="Times New Roman" w:hAnsi="Times New Roman" w:cs="Times New Roman"/>
        </w:rPr>
        <w:t>C</w:t>
      </w:r>
      <w:r w:rsidR="0064126D" w:rsidRPr="0064126D">
        <w:rPr>
          <w:rFonts w:ascii="Times New Roman" w:hAnsi="Times New Roman" w:cs="Times New Roman"/>
        </w:rPr>
        <w:t xml:space="preserve">eiling </w:t>
      </w:r>
      <w:r w:rsidR="00DB21A8">
        <w:rPr>
          <w:rFonts w:ascii="Times New Roman" w:hAnsi="Times New Roman" w:cs="Times New Roman"/>
        </w:rPr>
        <w:t>P</w:t>
      </w:r>
      <w:r w:rsidR="0064126D" w:rsidRPr="0064126D">
        <w:rPr>
          <w:rFonts w:ascii="Times New Roman" w:hAnsi="Times New Roman" w:cs="Times New Roman"/>
        </w:rPr>
        <w:t>anels</w:t>
      </w:r>
      <w:r w:rsidR="000E6377">
        <w:rPr>
          <w:rFonts w:ascii="Times New Roman" w:hAnsi="Times New Roman" w:cs="Times New Roman"/>
        </w:rPr>
        <w:t xml:space="preserve"> by Acoustical Surfaces, Inc.</w:t>
      </w:r>
    </w:p>
    <w:p w14:paraId="08CE0453" w14:textId="1B3D338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3400694A" w14:textId="0716D58E" w:rsidR="00447F87" w:rsidRPr="00447F87" w:rsidRDefault="00BA723D" w:rsidP="00447F8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Panel </w:t>
      </w:r>
      <w:r w:rsidR="00B6018D" w:rsidRPr="006E389F">
        <w:rPr>
          <w:rFonts w:ascii="Times New Roman" w:hAnsi="Times New Roman" w:cs="Times New Roman"/>
        </w:rPr>
        <w:t>C</w:t>
      </w:r>
      <w:r w:rsidRPr="006E389F">
        <w:rPr>
          <w:rFonts w:ascii="Times New Roman" w:hAnsi="Times New Roman" w:cs="Times New Roman"/>
        </w:rPr>
        <w:t>omposition</w:t>
      </w:r>
      <w:r w:rsidR="002D2486" w:rsidRPr="006E389F">
        <w:rPr>
          <w:rFonts w:ascii="Times New Roman" w:hAnsi="Times New Roman" w:cs="Times New Roman"/>
        </w:rPr>
        <w:t>:</w:t>
      </w:r>
      <w:r w:rsidR="002D2486" w:rsidRPr="006E389F">
        <w:rPr>
          <w:rFonts w:ascii="Times New Roman" w:hAnsi="Times New Roman" w:cs="Times New Roman"/>
        </w:rPr>
        <w:tab/>
      </w:r>
      <w:bookmarkStart w:id="1" w:name="_Hlk38287001"/>
      <w:r w:rsidR="0064126D" w:rsidRPr="006E389F">
        <w:rPr>
          <w:rFonts w:ascii="Times New Roman" w:hAnsi="Times New Roman" w:cs="Times New Roman"/>
        </w:rPr>
        <w:t>100% polyester</w:t>
      </w:r>
      <w:r w:rsidR="005A7A24">
        <w:rPr>
          <w:rFonts w:ascii="Times New Roman" w:hAnsi="Times New Roman" w:cs="Times New Roman"/>
        </w:rPr>
        <w:t xml:space="preserve">: </w:t>
      </w:r>
      <w:r w:rsidR="0064126D" w:rsidRPr="006E389F">
        <w:rPr>
          <w:rFonts w:ascii="Times New Roman" w:hAnsi="Times New Roman" w:cs="Times New Roman"/>
        </w:rPr>
        <w:t>60% PET-recycled fiber, 40% PET-virgin fiber</w:t>
      </w:r>
      <w:r w:rsidR="005A7A24">
        <w:rPr>
          <w:rFonts w:ascii="Times New Roman" w:hAnsi="Times New Roman" w:cs="Times New Roman"/>
        </w:rPr>
        <w:t>.</w:t>
      </w:r>
      <w:bookmarkEnd w:id="1"/>
    </w:p>
    <w:p w14:paraId="0ED40E4F" w14:textId="77777777" w:rsidR="00447F87" w:rsidRPr="00447F87" w:rsidRDefault="00447F87" w:rsidP="00447F87">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Panel Thickness:</w:t>
      </w:r>
      <w:r w:rsidRPr="00447F87">
        <w:rPr>
          <w:rFonts w:ascii="Times New Roman" w:hAnsi="Times New Roman" w:cs="Times New Roman"/>
        </w:rPr>
        <w:tab/>
      </w:r>
      <w:r w:rsidRPr="00447F87">
        <w:rPr>
          <w:rFonts w:ascii="Times New Roman" w:hAnsi="Times New Roman" w:cs="Times New Roman"/>
          <w:color w:val="FF0000"/>
        </w:rPr>
        <w:t>(1/2”) / (1”) / (2”)</w:t>
      </w:r>
    </w:p>
    <w:p w14:paraId="467757D0" w14:textId="11C619B0" w:rsidR="002D2486" w:rsidRPr="00447F87" w:rsidRDefault="001C7763" w:rsidP="7C924C1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Panel </w:t>
      </w:r>
      <w:r w:rsidR="000E6377" w:rsidRPr="006E389F">
        <w:rPr>
          <w:rFonts w:ascii="Times New Roman" w:hAnsi="Times New Roman" w:cs="Times New Roman"/>
        </w:rPr>
        <w:t>Density</w:t>
      </w:r>
      <w:r w:rsidR="002D2486" w:rsidRPr="006E389F">
        <w:rPr>
          <w:rFonts w:ascii="Times New Roman" w:hAnsi="Times New Roman" w:cs="Times New Roman"/>
        </w:rPr>
        <w:t>:</w:t>
      </w:r>
      <w:r w:rsidR="002D2486" w:rsidRPr="006E389F">
        <w:rPr>
          <w:rFonts w:ascii="Times New Roman" w:hAnsi="Times New Roman" w:cs="Times New Roman"/>
        </w:rPr>
        <w:tab/>
      </w:r>
      <w:r w:rsidR="002D2486" w:rsidRPr="006E389F">
        <w:rPr>
          <w:rFonts w:ascii="Times New Roman" w:hAnsi="Times New Roman" w:cs="Times New Roman"/>
        </w:rPr>
        <w:tab/>
      </w:r>
      <w:r w:rsidR="003247B4" w:rsidRPr="00447F87">
        <w:rPr>
          <w:rFonts w:ascii="Times New Roman" w:hAnsi="Times New Roman" w:cs="Times New Roman"/>
          <w:color w:val="FF0000"/>
        </w:rPr>
        <w:t xml:space="preserve">(12.5lb </w:t>
      </w:r>
      <w:proofErr w:type="spellStart"/>
      <w:r w:rsidR="003247B4" w:rsidRPr="00447F87">
        <w:rPr>
          <w:rFonts w:ascii="Times New Roman" w:hAnsi="Times New Roman" w:cs="Times New Roman"/>
          <w:color w:val="FF0000"/>
        </w:rPr>
        <w:t>pcf</w:t>
      </w:r>
      <w:proofErr w:type="spellEnd"/>
      <w:r w:rsidR="003247B4" w:rsidRPr="00447F87">
        <w:rPr>
          <w:rFonts w:ascii="Times New Roman" w:hAnsi="Times New Roman" w:cs="Times New Roman"/>
          <w:color w:val="FF0000"/>
        </w:rPr>
        <w:t xml:space="preserve"> – 1/2" panels)</w:t>
      </w:r>
      <w:r w:rsidR="007F5B1A">
        <w:rPr>
          <w:rFonts w:ascii="Times New Roman" w:hAnsi="Times New Roman" w:cs="Times New Roman"/>
          <w:color w:val="FF0000"/>
        </w:rPr>
        <w:t xml:space="preserve"> /</w:t>
      </w:r>
      <w:r w:rsidR="003247B4" w:rsidRPr="00447F87">
        <w:rPr>
          <w:rFonts w:ascii="Times New Roman" w:hAnsi="Times New Roman" w:cs="Times New Roman"/>
          <w:color w:val="FF0000"/>
        </w:rPr>
        <w:t xml:space="preserve"> </w:t>
      </w:r>
      <w:r w:rsidR="0064126D" w:rsidRPr="00447F87">
        <w:rPr>
          <w:rFonts w:ascii="Times New Roman" w:hAnsi="Times New Roman" w:cs="Times New Roman"/>
          <w:color w:val="FF0000"/>
        </w:rPr>
        <w:t xml:space="preserve">(7.5lb </w:t>
      </w:r>
      <w:proofErr w:type="spellStart"/>
      <w:r w:rsidR="0064126D" w:rsidRPr="00447F87">
        <w:rPr>
          <w:rFonts w:ascii="Times New Roman" w:hAnsi="Times New Roman" w:cs="Times New Roman"/>
          <w:color w:val="FF0000"/>
        </w:rPr>
        <w:t>pcf</w:t>
      </w:r>
      <w:proofErr w:type="spellEnd"/>
      <w:r w:rsidR="0064126D" w:rsidRPr="00447F87">
        <w:rPr>
          <w:rFonts w:ascii="Times New Roman" w:hAnsi="Times New Roman" w:cs="Times New Roman"/>
          <w:color w:val="FF0000"/>
        </w:rPr>
        <w:t xml:space="preserve"> – 1” panels) / </w:t>
      </w:r>
      <w:r w:rsidR="003247B4" w:rsidRPr="00447F87">
        <w:rPr>
          <w:rFonts w:ascii="Times New Roman" w:hAnsi="Times New Roman" w:cs="Times New Roman"/>
          <w:color w:val="FF0000"/>
        </w:rPr>
        <w:br/>
        <w:t xml:space="preserve">  </w:t>
      </w:r>
      <w:r w:rsidR="003247B4" w:rsidRPr="00447F87">
        <w:rPr>
          <w:rFonts w:ascii="Times New Roman" w:hAnsi="Times New Roman" w:cs="Times New Roman"/>
          <w:color w:val="FF0000"/>
        </w:rPr>
        <w:tab/>
      </w:r>
      <w:r w:rsidR="003247B4" w:rsidRPr="00447F87">
        <w:rPr>
          <w:rFonts w:ascii="Times New Roman" w:hAnsi="Times New Roman" w:cs="Times New Roman"/>
          <w:color w:val="FF0000"/>
        </w:rPr>
        <w:tab/>
      </w:r>
      <w:r w:rsidR="003247B4" w:rsidRPr="00447F87">
        <w:rPr>
          <w:rFonts w:ascii="Times New Roman" w:hAnsi="Times New Roman" w:cs="Times New Roman"/>
          <w:color w:val="FF0000"/>
        </w:rPr>
        <w:tab/>
      </w:r>
      <w:r w:rsidR="0064126D" w:rsidRPr="00447F87">
        <w:rPr>
          <w:rFonts w:ascii="Times New Roman" w:hAnsi="Times New Roman" w:cs="Times New Roman"/>
          <w:color w:val="FF0000"/>
        </w:rPr>
        <w:t xml:space="preserve">(5lb </w:t>
      </w:r>
      <w:proofErr w:type="spellStart"/>
      <w:r w:rsidR="0064126D" w:rsidRPr="00447F87">
        <w:rPr>
          <w:rFonts w:ascii="Times New Roman" w:hAnsi="Times New Roman" w:cs="Times New Roman"/>
          <w:color w:val="FF0000"/>
        </w:rPr>
        <w:t>pcf</w:t>
      </w:r>
      <w:proofErr w:type="spellEnd"/>
      <w:r w:rsidR="0064126D" w:rsidRPr="00447F87">
        <w:rPr>
          <w:rFonts w:ascii="Times New Roman" w:hAnsi="Times New Roman" w:cs="Times New Roman"/>
          <w:color w:val="FF0000"/>
        </w:rPr>
        <w:t xml:space="preserve"> – 2” panels)</w:t>
      </w:r>
    </w:p>
    <w:p w14:paraId="5FEBF814" w14:textId="5F0F42A6" w:rsidR="000E6377" w:rsidRPr="00447F87" w:rsidRDefault="001C7763" w:rsidP="7C924C1A">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Panel Size</w:t>
      </w:r>
      <w:r w:rsidR="000E6377" w:rsidRPr="00447F87">
        <w:rPr>
          <w:rFonts w:ascii="Times New Roman" w:hAnsi="Times New Roman" w:cs="Times New Roman"/>
        </w:rPr>
        <w:t>:</w:t>
      </w:r>
      <w:r w:rsidR="000E6377" w:rsidRPr="00447F87">
        <w:rPr>
          <w:rFonts w:ascii="Times New Roman" w:hAnsi="Times New Roman" w:cs="Times New Roman"/>
        </w:rPr>
        <w:tab/>
      </w:r>
      <w:r w:rsidR="000E6377" w:rsidRPr="00447F87">
        <w:rPr>
          <w:rFonts w:ascii="Times New Roman" w:hAnsi="Times New Roman" w:cs="Times New Roman"/>
        </w:rPr>
        <w:tab/>
      </w:r>
      <w:bookmarkStart w:id="2" w:name="_Hlk38287242"/>
      <w:r w:rsidR="00DB21A8" w:rsidRPr="00DB21A8">
        <w:rPr>
          <w:rFonts w:ascii="Times New Roman" w:hAnsi="Times New Roman" w:cs="Times New Roman"/>
          <w:color w:val="FF0000"/>
        </w:rPr>
        <w:t xml:space="preserve">(24” x 48”) / </w:t>
      </w:r>
      <w:r w:rsidR="005A7A24" w:rsidRPr="00447F87">
        <w:rPr>
          <w:rFonts w:ascii="Times New Roman" w:hAnsi="Times New Roman" w:cs="Times New Roman"/>
          <w:color w:val="FF0000"/>
        </w:rPr>
        <w:t>(48” x 96”) / (Custom Sizes</w:t>
      </w:r>
      <w:r w:rsidR="00447F87" w:rsidRPr="00447F87">
        <w:rPr>
          <w:rFonts w:ascii="Times New Roman" w:hAnsi="Times New Roman" w:cs="Times New Roman"/>
          <w:color w:val="FF0000"/>
        </w:rPr>
        <w:t xml:space="preserve"> up to 48” x 96”</w:t>
      </w:r>
      <w:r w:rsidR="005A7A24" w:rsidRPr="00447F87">
        <w:rPr>
          <w:rFonts w:ascii="Times New Roman" w:hAnsi="Times New Roman" w:cs="Times New Roman"/>
          <w:color w:val="FF0000"/>
        </w:rPr>
        <w:t>)</w:t>
      </w:r>
      <w:r w:rsidR="006E389F" w:rsidRPr="00447F87">
        <w:rPr>
          <w:rFonts w:ascii="Times New Roman" w:hAnsi="Times New Roman" w:cs="Times New Roman"/>
          <w:color w:val="FF0000"/>
        </w:rPr>
        <w:t xml:space="preserve"> </w:t>
      </w:r>
      <w:bookmarkEnd w:id="2"/>
    </w:p>
    <w:p w14:paraId="5B722C67" w14:textId="5FEDCBC5" w:rsidR="005B2C9F" w:rsidRPr="00447F87" w:rsidRDefault="005B2C9F" w:rsidP="7C924C1A">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 xml:space="preserve">Edge </w:t>
      </w:r>
      <w:r w:rsidR="00AB0736" w:rsidRPr="00447F87">
        <w:rPr>
          <w:rFonts w:ascii="Times New Roman" w:hAnsi="Times New Roman" w:cs="Times New Roman"/>
        </w:rPr>
        <w:t>Profile</w:t>
      </w:r>
      <w:r w:rsidRPr="00447F87">
        <w:rPr>
          <w:rFonts w:ascii="Times New Roman" w:hAnsi="Times New Roman" w:cs="Times New Roman"/>
        </w:rPr>
        <w:t xml:space="preserve">: </w:t>
      </w:r>
      <w:r w:rsidRPr="00447F87">
        <w:rPr>
          <w:rFonts w:ascii="Times New Roman" w:hAnsi="Times New Roman" w:cs="Times New Roman"/>
        </w:rPr>
        <w:tab/>
      </w:r>
      <w:r w:rsidRPr="00447F87">
        <w:rPr>
          <w:rFonts w:ascii="Times New Roman" w:hAnsi="Times New Roman" w:cs="Times New Roman"/>
        </w:rPr>
        <w:tab/>
      </w:r>
      <w:r w:rsidR="006E389F" w:rsidRPr="00447F87">
        <w:rPr>
          <w:rFonts w:ascii="Times New Roman" w:hAnsi="Times New Roman" w:cs="Times New Roman"/>
        </w:rPr>
        <w:t>Square</w:t>
      </w:r>
    </w:p>
    <w:p w14:paraId="469D4E89" w14:textId="562E8EE4" w:rsidR="000E6377" w:rsidRPr="00447F87" w:rsidRDefault="00F404F2"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0E6377" w:rsidRPr="00447F87">
        <w:rPr>
          <w:rFonts w:ascii="Times New Roman" w:hAnsi="Times New Roman" w:cs="Times New Roman"/>
        </w:rPr>
        <w:t>:</w:t>
      </w:r>
      <w:r w:rsidR="000E6377" w:rsidRPr="00447F87">
        <w:rPr>
          <w:rFonts w:ascii="Times New Roman" w:hAnsi="Times New Roman" w:cs="Times New Roman"/>
        </w:rPr>
        <w:tab/>
      </w:r>
      <w:r w:rsidR="000E6377" w:rsidRPr="00447F87">
        <w:rPr>
          <w:rFonts w:ascii="Times New Roman" w:hAnsi="Times New Roman" w:cs="Times New Roman"/>
        </w:rPr>
        <w:tab/>
      </w:r>
      <w:r w:rsidR="000E6377" w:rsidRPr="00447F87">
        <w:rPr>
          <w:rFonts w:ascii="Times New Roman" w:hAnsi="Times New Roman" w:cs="Times New Roman"/>
        </w:rPr>
        <w:tab/>
      </w:r>
      <w:bookmarkStart w:id="3" w:name="_Hlk39493464"/>
      <w:bookmarkStart w:id="4" w:name="_Hlk49762317"/>
      <w:r w:rsidR="00DB21A8">
        <w:rPr>
          <w:rFonts w:ascii="Times New Roman" w:hAnsi="Times New Roman" w:cs="Times New Roman"/>
        </w:rPr>
        <w:t xml:space="preserve">1/2" Color Options: </w:t>
      </w:r>
      <w:bookmarkStart w:id="5" w:name="_Hlk205789557"/>
      <w:bookmarkEnd w:id="3"/>
      <w:r w:rsidR="009F0C40" w:rsidRPr="009F0C40">
        <w:rPr>
          <w:rFonts w:ascii="Times New Roman" w:hAnsi="Times New Roman" w:cs="Times New Roman"/>
          <w:color w:val="FF0000"/>
        </w:rPr>
        <w:t xml:space="preserve">(White) / </w:t>
      </w:r>
      <w:r w:rsidR="00A65565">
        <w:rPr>
          <w:rFonts w:ascii="Times New Roman" w:hAnsi="Times New Roman" w:cs="Times New Roman"/>
          <w:color w:val="FF0000"/>
        </w:rPr>
        <w:t xml:space="preserve">(Beige) / (Tan) / (Brown) / (Silver) / </w:t>
      </w:r>
      <w:r w:rsidR="00A65565">
        <w:rPr>
          <w:rFonts w:ascii="Times New Roman" w:hAnsi="Times New Roman" w:cs="Times New Roman"/>
          <w:color w:val="FF0000"/>
        </w:rPr>
        <w:br/>
        <w:t xml:space="preserve">                                                                     </w:t>
      </w:r>
      <w:proofErr w:type="gramStart"/>
      <w:r w:rsidR="00A65565">
        <w:rPr>
          <w:rFonts w:ascii="Times New Roman" w:hAnsi="Times New Roman" w:cs="Times New Roman"/>
          <w:color w:val="FF0000"/>
        </w:rPr>
        <w:t xml:space="preserve">   (</w:t>
      </w:r>
      <w:proofErr w:type="gramEnd"/>
      <w:r w:rsidR="00A65565">
        <w:rPr>
          <w:rFonts w:ascii="Times New Roman" w:hAnsi="Times New Roman" w:cs="Times New Roman"/>
          <w:color w:val="FF0000"/>
        </w:rPr>
        <w:t xml:space="preserve">Gray) / (Black) / (Blue) / (Purple) / (Red) / </w:t>
      </w:r>
      <w:r w:rsidR="00A65565">
        <w:rPr>
          <w:rFonts w:ascii="Times New Roman" w:hAnsi="Times New Roman" w:cs="Times New Roman"/>
          <w:color w:val="FF0000"/>
        </w:rPr>
        <w:br/>
        <w:t xml:space="preserve">                                                                     </w:t>
      </w:r>
      <w:proofErr w:type="gramStart"/>
      <w:r w:rsidR="00A65565">
        <w:rPr>
          <w:rFonts w:ascii="Times New Roman" w:hAnsi="Times New Roman" w:cs="Times New Roman"/>
          <w:color w:val="FF0000"/>
        </w:rPr>
        <w:t xml:space="preserve">   (</w:t>
      </w:r>
      <w:proofErr w:type="gramEnd"/>
      <w:r w:rsidR="00A65565">
        <w:rPr>
          <w:rFonts w:ascii="Times New Roman" w:hAnsi="Times New Roman" w:cs="Times New Roman"/>
          <w:color w:val="FF0000"/>
        </w:rPr>
        <w:t>Orange) / (Lime)</w:t>
      </w:r>
      <w:r w:rsidR="000B7746">
        <w:rPr>
          <w:rFonts w:ascii="Times New Roman" w:hAnsi="Times New Roman" w:cs="Times New Roman"/>
          <w:color w:val="FF0000"/>
        </w:rPr>
        <w:t xml:space="preserve"> / (Printed Graphics)</w:t>
      </w:r>
      <w:bookmarkEnd w:id="5"/>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r>
      <w:r w:rsidR="00DB21A8" w:rsidRPr="008A481A">
        <w:rPr>
          <w:rFonts w:ascii="Times New Roman" w:hAnsi="Times New Roman" w:cs="Times New Roman"/>
        </w:rPr>
        <w:t xml:space="preserve">1” and 2” Color Options: </w:t>
      </w:r>
      <w:r w:rsidR="00DB21A8">
        <w:rPr>
          <w:rFonts w:ascii="Times New Roman" w:hAnsi="Times New Roman" w:cs="Times New Roman"/>
          <w:color w:val="FF0000"/>
        </w:rPr>
        <w:t>(White) / (Black) / (Beige)</w:t>
      </w:r>
      <w:r w:rsidR="00A65565">
        <w:rPr>
          <w:rFonts w:ascii="Times New Roman" w:hAnsi="Times New Roman" w:cs="Times New Roman"/>
          <w:color w:val="FF0000"/>
        </w:rPr>
        <w:t xml:space="preserve"> / (Silver)</w:t>
      </w:r>
      <w:r w:rsidR="00DB21A8">
        <w:rPr>
          <w:rFonts w:ascii="Times New Roman" w:hAnsi="Times New Roman" w:cs="Times New Roman"/>
          <w:color w:val="FF0000"/>
        </w:rPr>
        <w:t xml:space="preserve"> / </w:t>
      </w:r>
      <w:r w:rsidR="00A65565">
        <w:rPr>
          <w:rFonts w:ascii="Times New Roman" w:hAnsi="Times New Roman" w:cs="Times New Roman"/>
          <w:color w:val="FF0000"/>
        </w:rPr>
        <w:br/>
        <w:t xml:space="preserve">                                                                              </w:t>
      </w:r>
      <w:proofErr w:type="gramStart"/>
      <w:r w:rsidR="00A65565">
        <w:rPr>
          <w:rFonts w:ascii="Times New Roman" w:hAnsi="Times New Roman" w:cs="Times New Roman"/>
          <w:color w:val="FF0000"/>
        </w:rPr>
        <w:t xml:space="preserve">   </w:t>
      </w:r>
      <w:r w:rsidR="00DB21A8">
        <w:rPr>
          <w:rFonts w:ascii="Times New Roman" w:hAnsi="Times New Roman" w:cs="Times New Roman"/>
          <w:color w:val="FF0000"/>
        </w:rPr>
        <w:t>(</w:t>
      </w:r>
      <w:proofErr w:type="gramEnd"/>
      <w:r w:rsidR="00DB21A8">
        <w:rPr>
          <w:rFonts w:ascii="Times New Roman" w:hAnsi="Times New Roman" w:cs="Times New Roman"/>
          <w:color w:val="FF0000"/>
        </w:rPr>
        <w:t>Printed</w:t>
      </w:r>
      <w:r w:rsidR="00A65565">
        <w:rPr>
          <w:rFonts w:ascii="Times New Roman" w:hAnsi="Times New Roman" w:cs="Times New Roman"/>
          <w:color w:val="FF0000"/>
        </w:rPr>
        <w:t xml:space="preserve"> </w:t>
      </w:r>
      <w:r w:rsidR="00DB21A8">
        <w:rPr>
          <w:rFonts w:ascii="Times New Roman" w:hAnsi="Times New Roman" w:cs="Times New Roman"/>
          <w:color w:val="FF0000"/>
        </w:rPr>
        <w:t>Graphics)</w:t>
      </w:r>
      <w:bookmarkEnd w:id="4"/>
    </w:p>
    <w:p w14:paraId="55EE2E24" w14:textId="3BADD6E9" w:rsidR="00F404F2" w:rsidRPr="00F404F2" w:rsidRDefault="001C7763" w:rsidP="00F404F2">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F404F2" w:rsidRPr="00F404F2">
        <w:rPr>
          <w:rFonts w:ascii="Times New Roman" w:hAnsi="Times New Roman" w:cs="Times New Roman"/>
          <w:color w:val="FF0000"/>
        </w:rPr>
        <w:t>(Adhesive) / (</w:t>
      </w:r>
      <w:r w:rsidR="006E389F" w:rsidRPr="00F404F2">
        <w:rPr>
          <w:rFonts w:ascii="Times New Roman" w:hAnsi="Times New Roman" w:cs="Times New Roman"/>
          <w:color w:val="FF0000"/>
        </w:rPr>
        <w:t>Direct Attach</w:t>
      </w:r>
      <w:r w:rsidR="00F404F2" w:rsidRPr="00F404F2">
        <w:rPr>
          <w:rFonts w:ascii="Times New Roman" w:hAnsi="Times New Roman" w:cs="Times New Roman"/>
          <w:color w:val="FF0000"/>
        </w:rPr>
        <w:t>)</w:t>
      </w:r>
      <w:r w:rsidR="008018D7">
        <w:rPr>
          <w:rFonts w:ascii="Times New Roman" w:hAnsi="Times New Roman" w:cs="Times New Roman"/>
          <w:color w:val="FF0000"/>
        </w:rPr>
        <w:t xml:space="preserve"> </w:t>
      </w:r>
      <w:r w:rsidR="004B672D">
        <w:rPr>
          <w:rFonts w:ascii="Times New Roman" w:hAnsi="Times New Roman" w:cs="Times New Roman"/>
          <w:color w:val="FF0000"/>
        </w:rPr>
        <w:t>/ (Stick Pins)</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bookmarkStart w:id="6" w:name="_Hlk26273096"/>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19"/>
        <w:gridCol w:w="1812"/>
        <w:gridCol w:w="1823"/>
        <w:gridCol w:w="1824"/>
      </w:tblGrid>
      <w:tr w:rsidR="005A7A24" w14:paraId="6C729EA8" w14:textId="77777777" w:rsidTr="005A7A24">
        <w:tc>
          <w:tcPr>
            <w:tcW w:w="2019" w:type="dxa"/>
          </w:tcPr>
          <w:p w14:paraId="396A6A09" w14:textId="40A613B0"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12" w:type="dxa"/>
          </w:tcPr>
          <w:p w14:paraId="160EED86" w14:textId="7CEADB47"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4272B2B6" w14:textId="35338F58"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24" w:type="dxa"/>
          </w:tcPr>
          <w:p w14:paraId="453EC8FB" w14:textId="3AF90DF4"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5A7A24" w14:paraId="5369E1B4" w14:textId="77777777" w:rsidTr="005A7A24">
        <w:tc>
          <w:tcPr>
            <w:tcW w:w="2019" w:type="dxa"/>
          </w:tcPr>
          <w:p w14:paraId="043D82C1" w14:textId="21EBC8E2"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12" w:type="dxa"/>
          </w:tcPr>
          <w:p w14:paraId="01927CB6" w14:textId="2FDB344A"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0.40</w:t>
            </w:r>
          </w:p>
        </w:tc>
        <w:tc>
          <w:tcPr>
            <w:tcW w:w="1823" w:type="dxa"/>
          </w:tcPr>
          <w:p w14:paraId="46CDD2FF" w14:textId="55BAFD41"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612452E8" w14:textId="38D0E0FB"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BD50E5" w14:paraId="14E5E568" w14:textId="77777777" w:rsidTr="005A7A24">
        <w:tc>
          <w:tcPr>
            <w:tcW w:w="2019" w:type="dxa"/>
          </w:tcPr>
          <w:p w14:paraId="0AF8F622" w14:textId="1BD241B5"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D20 Mount</w:t>
            </w:r>
          </w:p>
        </w:tc>
        <w:tc>
          <w:tcPr>
            <w:tcW w:w="1812" w:type="dxa"/>
          </w:tcPr>
          <w:p w14:paraId="0C071B4B" w14:textId="64A7E7F9"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823" w:type="dxa"/>
          </w:tcPr>
          <w:p w14:paraId="07AED4C8" w14:textId="14BC0519"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24" w:type="dxa"/>
          </w:tcPr>
          <w:p w14:paraId="5925A989" w14:textId="0777850A"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BD50E5" w14:paraId="7FA3DA36" w14:textId="77777777" w:rsidTr="005A7A24">
        <w:tc>
          <w:tcPr>
            <w:tcW w:w="2019" w:type="dxa"/>
          </w:tcPr>
          <w:p w14:paraId="672B1B48" w14:textId="1083DE5C"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D40 Mount</w:t>
            </w:r>
          </w:p>
        </w:tc>
        <w:tc>
          <w:tcPr>
            <w:tcW w:w="1812" w:type="dxa"/>
          </w:tcPr>
          <w:p w14:paraId="7BC2995B" w14:textId="27F9CF02"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3" w:type="dxa"/>
          </w:tcPr>
          <w:p w14:paraId="73823017" w14:textId="7852F417"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24" w:type="dxa"/>
          </w:tcPr>
          <w:p w14:paraId="647BE242" w14:textId="02488C8A"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bl>
    <w:p w14:paraId="33F8962C" w14:textId="77777777" w:rsidR="00476496" w:rsidRPr="00476496" w:rsidRDefault="00476496" w:rsidP="00476496">
      <w:pPr>
        <w:spacing w:after="200"/>
        <w:rPr>
          <w:rFonts w:ascii="Times New Roman" w:hAnsi="Times New Roman" w:cs="Times New Roman"/>
        </w:rPr>
      </w:pPr>
    </w:p>
    <w:p w14:paraId="57ADF8AD" w14:textId="2E65652D" w:rsidR="00476496" w:rsidRPr="006E389F" w:rsidRDefault="00476496" w:rsidP="000E637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5AC103F5" w14:textId="51E810AD" w:rsidR="00476496" w:rsidRDefault="00476496" w:rsidP="00476496">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w:t>
      </w:r>
      <w:r w:rsidR="006E389F" w:rsidRPr="006E389F">
        <w:rPr>
          <w:rFonts w:ascii="Times New Roman" w:hAnsi="Times New Roman" w:cs="Times New Roman"/>
        </w:rPr>
        <w:t>A</w:t>
      </w:r>
      <w:r w:rsidRPr="006E389F">
        <w:rPr>
          <w:rFonts w:ascii="Times New Roman" w:hAnsi="Times New Roman" w:cs="Times New Roman"/>
        </w:rPr>
        <w:t xml:space="preserve">. </w:t>
      </w:r>
    </w:p>
    <w:p w14:paraId="4ED49C28" w14:textId="0EFBEF78" w:rsidR="00F404F2" w:rsidRDefault="00F404F2" w:rsidP="00F404F2">
      <w:pPr>
        <w:pStyle w:val="ListParagraph"/>
        <w:numPr>
          <w:ilvl w:val="2"/>
          <w:numId w:val="3"/>
        </w:numPr>
        <w:spacing w:after="200"/>
        <w:ind w:hanging="720"/>
        <w:contextualSpacing w:val="0"/>
        <w:rPr>
          <w:rFonts w:ascii="Times New Roman" w:hAnsi="Times New Roman" w:cs="Times New Roman"/>
        </w:rPr>
      </w:pPr>
      <w:bookmarkStart w:id="7" w:name="_Hlk49762347"/>
      <w:r>
        <w:rPr>
          <w:rFonts w:ascii="Times New Roman" w:hAnsi="Times New Roman" w:cs="Times New Roman"/>
        </w:rPr>
        <w:t>Material Property Performance</w:t>
      </w:r>
    </w:p>
    <w:p w14:paraId="289EE1A7" w14:textId="1740B762" w:rsid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28C7FADA" w14:textId="572EDC94" w:rsid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519BD03E" w14:textId="7792D629" w:rsidR="00F404F2" w:rsidRP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p>
    <w:bookmarkEnd w:id="6"/>
    <w:bookmarkEnd w:id="7"/>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w:t>
      </w:r>
      <w:proofErr w:type="gramStart"/>
      <w:r>
        <w:rPr>
          <w:rFonts w:ascii="Times New Roman" w:hAnsi="Times New Roman" w:cs="Times New Roman"/>
        </w:rPr>
        <w:t>received</w:t>
      </w:r>
      <w:proofErr w:type="gramEnd"/>
      <w:r>
        <w:rPr>
          <w:rFonts w:ascii="Times New Roman" w:hAnsi="Times New Roman" w:cs="Times New Roman"/>
        </w:rPr>
        <w:t xml:space="preserve"> furred out or directly attached </w:t>
      </w:r>
      <w:proofErr w:type="gramStart"/>
      <w:r>
        <w:rPr>
          <w:rFonts w:ascii="Times New Roman" w:hAnsi="Times New Roman" w:cs="Times New Roman"/>
        </w:rPr>
        <w:t>acoustical</w:t>
      </w:r>
      <w:proofErr w:type="gramEnd"/>
      <w:r>
        <w:rPr>
          <w:rFonts w:ascii="Times New Roman" w:hAnsi="Times New Roman" w:cs="Times New Roman"/>
        </w:rPr>
        <w:t xml:space="preserve">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C9241" w14:textId="77777777" w:rsidR="00E818DA" w:rsidRDefault="00E818DA" w:rsidP="00440A36">
      <w:pPr>
        <w:spacing w:after="0" w:line="240" w:lineRule="auto"/>
      </w:pPr>
      <w:r>
        <w:separator/>
      </w:r>
    </w:p>
  </w:endnote>
  <w:endnote w:type="continuationSeparator" w:id="0">
    <w:p w14:paraId="5B6A7C1F" w14:textId="77777777" w:rsidR="00E818DA" w:rsidRDefault="00E818DA" w:rsidP="00440A36">
      <w:pPr>
        <w:spacing w:after="0" w:line="240" w:lineRule="auto"/>
      </w:pPr>
      <w:r>
        <w:continuationSeparator/>
      </w:r>
    </w:p>
  </w:endnote>
  <w:endnote w:type="continuationNotice" w:id="1">
    <w:p w14:paraId="73643F7B" w14:textId="77777777" w:rsidR="00E818DA" w:rsidRDefault="00E81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75EE7" w14:textId="77777777" w:rsidR="00E818DA" w:rsidRDefault="00E818DA" w:rsidP="00440A36">
      <w:pPr>
        <w:spacing w:after="0" w:line="240" w:lineRule="auto"/>
      </w:pPr>
      <w:r>
        <w:separator/>
      </w:r>
    </w:p>
  </w:footnote>
  <w:footnote w:type="continuationSeparator" w:id="0">
    <w:p w14:paraId="20EA3066" w14:textId="77777777" w:rsidR="00E818DA" w:rsidRDefault="00E818DA" w:rsidP="00440A36">
      <w:pPr>
        <w:spacing w:after="0" w:line="240" w:lineRule="auto"/>
      </w:pPr>
      <w:r>
        <w:continuationSeparator/>
      </w:r>
    </w:p>
  </w:footnote>
  <w:footnote w:type="continuationNotice" w:id="1">
    <w:p w14:paraId="2DE2F6F4" w14:textId="77777777" w:rsidR="00E818DA" w:rsidRDefault="00E81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85214">
    <w:abstractNumId w:val="1"/>
  </w:num>
  <w:num w:numId="2" w16cid:durableId="1631789834">
    <w:abstractNumId w:val="4"/>
  </w:num>
  <w:num w:numId="3" w16cid:durableId="841433355">
    <w:abstractNumId w:val="0"/>
  </w:num>
  <w:num w:numId="4" w16cid:durableId="828793157">
    <w:abstractNumId w:val="3"/>
  </w:num>
  <w:num w:numId="5" w16cid:durableId="1060441722">
    <w:abstractNumId w:val="5"/>
  </w:num>
  <w:num w:numId="6" w16cid:durableId="1279607358">
    <w:abstractNumId w:val="10"/>
  </w:num>
  <w:num w:numId="7" w16cid:durableId="1438138963">
    <w:abstractNumId w:val="8"/>
  </w:num>
  <w:num w:numId="8" w16cid:durableId="752971085">
    <w:abstractNumId w:val="7"/>
  </w:num>
  <w:num w:numId="9" w16cid:durableId="1938518908">
    <w:abstractNumId w:val="11"/>
  </w:num>
  <w:num w:numId="10" w16cid:durableId="1161503075">
    <w:abstractNumId w:val="6"/>
  </w:num>
  <w:num w:numId="11" w16cid:durableId="2043817478">
    <w:abstractNumId w:val="9"/>
  </w:num>
  <w:num w:numId="12" w16cid:durableId="1192718074">
    <w:abstractNumId w:val="2"/>
  </w:num>
  <w:num w:numId="13" w16cid:durableId="1670057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B7746"/>
    <w:rsid w:val="000C798E"/>
    <w:rsid w:val="000D03E9"/>
    <w:rsid w:val="000D6445"/>
    <w:rsid w:val="000E1765"/>
    <w:rsid w:val="000E52AF"/>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4A46"/>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A2D2B"/>
    <w:rsid w:val="002B6CBD"/>
    <w:rsid w:val="002C0336"/>
    <w:rsid w:val="002D2486"/>
    <w:rsid w:val="002D2DE2"/>
    <w:rsid w:val="002D359E"/>
    <w:rsid w:val="002F4CB9"/>
    <w:rsid w:val="00300503"/>
    <w:rsid w:val="00303021"/>
    <w:rsid w:val="00305873"/>
    <w:rsid w:val="003154C2"/>
    <w:rsid w:val="003247B4"/>
    <w:rsid w:val="00332E81"/>
    <w:rsid w:val="00337953"/>
    <w:rsid w:val="00337F91"/>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47F87"/>
    <w:rsid w:val="00454171"/>
    <w:rsid w:val="00471BEA"/>
    <w:rsid w:val="00476496"/>
    <w:rsid w:val="004B672D"/>
    <w:rsid w:val="004B7790"/>
    <w:rsid w:val="004C011E"/>
    <w:rsid w:val="004C0977"/>
    <w:rsid w:val="004C19DA"/>
    <w:rsid w:val="004D1DEF"/>
    <w:rsid w:val="004D7292"/>
    <w:rsid w:val="004F5CB6"/>
    <w:rsid w:val="00506166"/>
    <w:rsid w:val="00516DC0"/>
    <w:rsid w:val="00533E3A"/>
    <w:rsid w:val="00553D65"/>
    <w:rsid w:val="005543F3"/>
    <w:rsid w:val="00561FDF"/>
    <w:rsid w:val="0057072E"/>
    <w:rsid w:val="00587F94"/>
    <w:rsid w:val="005A7A24"/>
    <w:rsid w:val="005B2C9F"/>
    <w:rsid w:val="005D0D1C"/>
    <w:rsid w:val="005D1492"/>
    <w:rsid w:val="005D2986"/>
    <w:rsid w:val="005D74A7"/>
    <w:rsid w:val="005E0A7D"/>
    <w:rsid w:val="005E1DB4"/>
    <w:rsid w:val="005E2268"/>
    <w:rsid w:val="005F3FF1"/>
    <w:rsid w:val="006072C0"/>
    <w:rsid w:val="0061274D"/>
    <w:rsid w:val="00613A7D"/>
    <w:rsid w:val="00617330"/>
    <w:rsid w:val="0064126D"/>
    <w:rsid w:val="00663A54"/>
    <w:rsid w:val="00671375"/>
    <w:rsid w:val="006B1341"/>
    <w:rsid w:val="006E389F"/>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5B1A"/>
    <w:rsid w:val="007F7288"/>
    <w:rsid w:val="00800E1A"/>
    <w:rsid w:val="008018D7"/>
    <w:rsid w:val="00806050"/>
    <w:rsid w:val="0081216C"/>
    <w:rsid w:val="00815A8C"/>
    <w:rsid w:val="008230D1"/>
    <w:rsid w:val="00824ABC"/>
    <w:rsid w:val="0083188D"/>
    <w:rsid w:val="008370CA"/>
    <w:rsid w:val="00857D96"/>
    <w:rsid w:val="008614ED"/>
    <w:rsid w:val="0088474D"/>
    <w:rsid w:val="00895CD4"/>
    <w:rsid w:val="008B26B0"/>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9F0C40"/>
    <w:rsid w:val="00A0769B"/>
    <w:rsid w:val="00A33D17"/>
    <w:rsid w:val="00A342B8"/>
    <w:rsid w:val="00A65565"/>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52D"/>
    <w:rsid w:val="00BC09C3"/>
    <w:rsid w:val="00BC221C"/>
    <w:rsid w:val="00BC3625"/>
    <w:rsid w:val="00BC47FD"/>
    <w:rsid w:val="00BC7C18"/>
    <w:rsid w:val="00BD50E5"/>
    <w:rsid w:val="00BD5993"/>
    <w:rsid w:val="00BE1E57"/>
    <w:rsid w:val="00BE695A"/>
    <w:rsid w:val="00BF4019"/>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21A8"/>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818DA"/>
    <w:rsid w:val="00E86E4F"/>
    <w:rsid w:val="00EB312D"/>
    <w:rsid w:val="00EC3EDC"/>
    <w:rsid w:val="00EC7CBB"/>
    <w:rsid w:val="00ED326D"/>
    <w:rsid w:val="00EE3089"/>
    <w:rsid w:val="00EF198C"/>
    <w:rsid w:val="00EF1DBF"/>
    <w:rsid w:val="00EF4F47"/>
    <w:rsid w:val="00F07ACF"/>
    <w:rsid w:val="00F17EF7"/>
    <w:rsid w:val="00F212A4"/>
    <w:rsid w:val="00F30F94"/>
    <w:rsid w:val="00F404F2"/>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3247B4"/>
    <w:pPr>
      <w:contextualSpacing/>
    </w:pPr>
    <w:rPr>
      <w:rFonts w:ascii="Times New Roman" w:hAnsi="Times New Roman" w:cs="Times New Roman"/>
      <w:b/>
    </w:rPr>
  </w:style>
  <w:style w:type="character" w:customStyle="1" w:styleId="PartCSIChar">
    <w:name w:val="Part (CSI) Char"/>
    <w:basedOn w:val="DefaultParagraphFont"/>
    <w:link w:val="PartCSI"/>
    <w:rsid w:val="003247B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A0FD-F6B8-40C5-8AC1-636B72A9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3</cp:revision>
  <cp:lastPrinted>2018-03-07T14:35:00Z</cp:lastPrinted>
  <dcterms:created xsi:type="dcterms:W3CDTF">2025-08-11T12:24:00Z</dcterms:created>
  <dcterms:modified xsi:type="dcterms:W3CDTF">2025-08-11T12:25:00Z</dcterms:modified>
</cp:coreProperties>
</file>